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Bdr>
          <w:top w:space="0" w:sz="0" w:val="nil"/>
          <w:left w:space="0" w:sz="0" w:val="nil"/>
          <w:bottom w:space="0" w:sz="0" w:val="nil"/>
          <w:right w:space="0" w:sz="0" w:val="nil"/>
          <w:between w:space="0" w:sz="0" w:val="nil"/>
        </w:pBdr>
        <w:spacing w:after="200" w:before="200" w:line="276" w:lineRule="auto"/>
        <w:ind w:left="-708" w:right="0" w:firstLine="2.0000000000000284"/>
        <w:jc w:val="center"/>
        <w:rPr>
          <w:b w:val="1"/>
          <w:sz w:val="56"/>
          <w:szCs w:val="56"/>
        </w:rPr>
      </w:pPr>
      <w:r w:rsidDel="00000000" w:rsidR="00000000" w:rsidRPr="00000000">
        <w:rPr>
          <w:b w:val="1"/>
          <w:sz w:val="56"/>
          <w:szCs w:val="56"/>
          <w:rtl w:val="0"/>
        </w:rPr>
        <w:t xml:space="preserve">European Rural Network</w:t>
        <w:br w:type="textWrapping"/>
        <w:t xml:space="preserve">Sustainability Plan</w:t>
      </w:r>
    </w:p>
    <w:p w:rsidR="00000000" w:rsidDel="00000000" w:rsidP="00000000" w:rsidRDefault="00000000" w:rsidRPr="00000000" w14:paraId="00000002">
      <w:pPr>
        <w:keepNext w:val="1"/>
        <w:keepLines w:val="1"/>
        <w:pBdr>
          <w:top w:space="0" w:sz="0" w:val="nil"/>
          <w:left w:space="0" w:sz="0" w:val="nil"/>
          <w:bottom w:space="0" w:sz="0" w:val="nil"/>
          <w:right w:space="0" w:sz="0" w:val="nil"/>
          <w:between w:space="0" w:sz="0" w:val="nil"/>
        </w:pBdr>
        <w:spacing w:after="200" w:before="200" w:line="276" w:lineRule="auto"/>
        <w:ind w:left="-708" w:right="0" w:firstLine="2.0000000000000284"/>
        <w:jc w:val="center"/>
        <w:rPr>
          <w:rFonts w:ascii="Nunito SemiBold" w:cs="Nunito SemiBold" w:eastAsia="Nunito SemiBold" w:hAnsi="Nunito SemiBold"/>
          <w:color w:val="0f4761"/>
          <w:sz w:val="30"/>
          <w:szCs w:val="30"/>
        </w:rPr>
      </w:pPr>
      <w:r w:rsidDel="00000000" w:rsidR="00000000" w:rsidRPr="00000000">
        <w:rPr>
          <w:rFonts w:ascii="Nunito SemiBold" w:cs="Nunito SemiBold" w:eastAsia="Nunito SemiBold" w:hAnsi="Nunito SemiBold"/>
          <w:color w:val="0f4761"/>
          <w:sz w:val="30"/>
          <w:szCs w:val="30"/>
          <w:rtl w:val="0"/>
        </w:rPr>
        <w:t xml:space="preserve">SURF Project</w:t>
      </w:r>
    </w:p>
    <w:p w:rsidR="00000000" w:rsidDel="00000000" w:rsidP="00000000" w:rsidRDefault="00000000" w:rsidRPr="00000000" w14:paraId="00000003">
      <w:pPr>
        <w:keepNext w:val="1"/>
        <w:keepLines w:val="1"/>
        <w:pBdr>
          <w:top w:space="0" w:sz="0" w:val="nil"/>
          <w:left w:space="0" w:sz="0" w:val="nil"/>
          <w:bottom w:space="0" w:sz="0" w:val="nil"/>
          <w:right w:space="0" w:sz="0" w:val="nil"/>
          <w:between w:space="0" w:sz="0" w:val="nil"/>
        </w:pBdr>
        <w:spacing w:after="200" w:before="200" w:line="276" w:lineRule="auto"/>
        <w:ind w:left="-708" w:right="0" w:firstLine="2.0000000000000284"/>
        <w:jc w:val="center"/>
        <w:rPr>
          <w:rFonts w:ascii="Nunito SemiBold" w:cs="Nunito SemiBold" w:eastAsia="Nunito SemiBold" w:hAnsi="Nunito SemiBold"/>
          <w:color w:val="0f4761"/>
          <w:sz w:val="30"/>
          <w:szCs w:val="30"/>
        </w:rPr>
      </w:pPr>
      <w:r w:rsidDel="00000000" w:rsidR="00000000" w:rsidRPr="00000000">
        <w:rPr>
          <w:rtl w:val="0"/>
        </w:rPr>
      </w:r>
    </w:p>
    <w:p w:rsidR="00000000" w:rsidDel="00000000" w:rsidP="00000000" w:rsidRDefault="00000000" w:rsidRPr="00000000" w14:paraId="00000004">
      <w:pPr>
        <w:keepNext w:val="1"/>
        <w:keepLines w:val="1"/>
        <w:pBdr>
          <w:top w:space="0" w:sz="0" w:val="nil"/>
          <w:left w:space="0" w:sz="0" w:val="nil"/>
          <w:bottom w:space="0" w:sz="0" w:val="nil"/>
          <w:right w:space="0" w:sz="0" w:val="nil"/>
          <w:between w:space="0" w:sz="0" w:val="nil"/>
        </w:pBdr>
        <w:spacing w:after="80" w:before="160" w:lineRule="auto"/>
        <w:ind w:firstLine="4"/>
        <w:rPr>
          <w:color w:val="0f4761"/>
          <w:sz w:val="40"/>
          <w:szCs w:val="40"/>
        </w:rPr>
      </w:pPr>
      <w:bookmarkStart w:colFirst="0" w:colLast="0" w:name="_heading=h.qm75y9dxu4o" w:id="0"/>
      <w:bookmarkEnd w:id="0"/>
      <w:r w:rsidDel="00000000" w:rsidR="00000000" w:rsidRPr="00000000">
        <w:rPr>
          <w:color w:val="0f4761"/>
          <w:sz w:val="40"/>
          <w:szCs w:val="40"/>
          <w:rtl w:val="0"/>
        </w:rPr>
        <w:t xml:space="preserve">Project document</w:t>
      </w:r>
    </w:p>
    <w:p w:rsidR="00000000" w:rsidDel="00000000" w:rsidP="00000000" w:rsidRDefault="00000000" w:rsidRPr="00000000" w14:paraId="00000005">
      <w:pPr>
        <w:keepNext w:val="1"/>
        <w:keepLines w:val="1"/>
        <w:pBdr>
          <w:top w:space="0" w:sz="0" w:val="nil"/>
          <w:left w:space="0" w:sz="0" w:val="nil"/>
          <w:bottom w:space="0" w:sz="0" w:val="nil"/>
          <w:right w:space="0" w:sz="0" w:val="nil"/>
          <w:between w:space="0" w:sz="0" w:val="nil"/>
        </w:pBdr>
        <w:spacing w:after="80" w:before="160" w:lineRule="auto"/>
        <w:ind w:firstLine="4"/>
        <w:rPr>
          <w:color w:val="0f4761"/>
          <w:sz w:val="40"/>
          <w:szCs w:val="40"/>
        </w:rPr>
      </w:pPr>
      <w:r w:rsidDel="00000000" w:rsidR="00000000" w:rsidRPr="00000000">
        <w:rPr>
          <w:color w:val="0f4761"/>
          <w:sz w:val="40"/>
          <w:szCs w:val="40"/>
          <w:rtl w:val="0"/>
        </w:rPr>
        <w:t xml:space="preserve">29.07.2025</w:t>
      </w:r>
    </w:p>
    <w:p w:rsidR="00000000" w:rsidDel="00000000" w:rsidP="00000000" w:rsidRDefault="00000000" w:rsidRPr="00000000" w14:paraId="00000006">
      <w:pPr>
        <w:keepNext w:val="1"/>
        <w:keepLines w:val="1"/>
        <w:pBdr>
          <w:top w:space="0" w:sz="0" w:val="nil"/>
          <w:left w:space="0" w:sz="0" w:val="nil"/>
          <w:bottom w:space="0" w:sz="0" w:val="nil"/>
          <w:right w:space="0" w:sz="0" w:val="nil"/>
          <w:between w:space="0" w:sz="0" w:val="nil"/>
        </w:pBdr>
        <w:spacing w:after="80" w:before="160" w:lineRule="auto"/>
        <w:ind w:firstLine="4"/>
        <w:rPr>
          <w:color w:val="0f4761"/>
          <w:sz w:val="40"/>
          <w:szCs w:val="40"/>
        </w:rPr>
      </w:pPr>
      <w:r w:rsidDel="00000000" w:rsidR="00000000" w:rsidRPr="00000000">
        <w:rPr>
          <w:color w:val="0f4761"/>
          <w:sz w:val="40"/>
          <w:szCs w:val="40"/>
          <w:rtl w:val="0"/>
        </w:rPr>
        <w:t xml:space="preserve">Authors </w:t>
      </w:r>
    </w:p>
    <w:p w:rsidR="00000000" w:rsidDel="00000000" w:rsidP="00000000" w:rsidRDefault="00000000" w:rsidRPr="00000000" w14:paraId="00000007">
      <w:pPr>
        <w:keepNext w:val="1"/>
        <w:keepLines w:val="1"/>
        <w:pBdr>
          <w:top w:space="0" w:sz="0" w:val="nil"/>
          <w:left w:space="0" w:sz="0" w:val="nil"/>
          <w:bottom w:space="0" w:sz="0" w:val="nil"/>
          <w:right w:space="0" w:sz="0" w:val="nil"/>
          <w:between w:space="0" w:sz="0" w:val="nil"/>
        </w:pBdr>
        <w:spacing w:after="80" w:before="160" w:lineRule="auto"/>
        <w:ind w:firstLine="4"/>
        <w:rPr>
          <w:color w:val="0f4761"/>
          <w:sz w:val="40"/>
          <w:szCs w:val="40"/>
        </w:rPr>
      </w:pPr>
      <w:r w:rsidDel="00000000" w:rsidR="00000000" w:rsidRPr="00000000">
        <w:rPr>
          <w:color w:val="0f4761"/>
          <w:sz w:val="40"/>
          <w:szCs w:val="40"/>
          <w:rtl w:val="0"/>
        </w:rPr>
        <w:t xml:space="preserve">ARCES (IT)</w:t>
      </w:r>
    </w:p>
    <w:p w:rsidR="00000000" w:rsidDel="00000000" w:rsidP="00000000" w:rsidRDefault="00000000" w:rsidRPr="00000000" w14:paraId="00000008">
      <w:pPr>
        <w:rPr/>
      </w:pPr>
      <w:r w:rsidDel="00000000" w:rsidR="00000000" w:rsidRPr="00000000">
        <w:br w:type="page"/>
      </w:r>
      <w:r w:rsidDel="00000000" w:rsidR="00000000" w:rsidRPr="00000000">
        <w:rPr>
          <w:rtl w:val="0"/>
        </w:rPr>
      </w:r>
    </w:p>
    <w:p w:rsidR="00000000" w:rsidDel="00000000" w:rsidP="00000000" w:rsidRDefault="00000000" w:rsidRPr="00000000" w14:paraId="00000009">
      <w:pPr>
        <w:keepNext w:val="1"/>
        <w:keepLines w:val="1"/>
        <w:pBdr>
          <w:top w:space="0" w:sz="0" w:val="nil"/>
          <w:left w:space="0" w:sz="0" w:val="nil"/>
          <w:bottom w:space="0" w:sz="0" w:val="nil"/>
          <w:right w:space="0" w:sz="0" w:val="nil"/>
          <w:between w:space="0" w:sz="0" w:val="nil"/>
        </w:pBdr>
        <w:spacing w:after="0" w:before="240" w:line="259" w:lineRule="auto"/>
        <w:ind w:left="0" w:right="0" w:firstLine="0"/>
        <w:jc w:val="left"/>
        <w:rPr>
          <w:color w:val="0f4761"/>
          <w:sz w:val="32"/>
          <w:szCs w:val="32"/>
        </w:rPr>
      </w:pPr>
      <w:r w:rsidDel="00000000" w:rsidR="00000000" w:rsidRPr="00000000">
        <w:rPr>
          <w:color w:val="0f4761"/>
          <w:sz w:val="32"/>
          <w:szCs w:val="32"/>
          <w:rtl w:val="0"/>
        </w:rPr>
        <w:t xml:space="preserve">Table of content</w:t>
      </w:r>
    </w:p>
    <w:sdt>
      <w:sdtPr>
        <w:id w:val="1771133758"/>
        <w:docPartObj>
          <w:docPartGallery w:val="Table of Contents"/>
          <w:docPartUnique w:val="1"/>
        </w:docPartObj>
      </w:sdtPr>
      <w:sdtContent>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right" w:leader="none" w:pos="8494"/>
            </w:tabs>
            <w:spacing w:after="100" w:lineRule="auto"/>
            <w:ind w:left="0" w:firstLine="0"/>
            <w:rPr>
              <w:color w:val="000000"/>
            </w:rPr>
          </w:pPr>
          <w:bookmarkStart w:colFirst="0" w:colLast="0" w:name="_heading=h.9ijtxhu67n49" w:id="1"/>
          <w:bookmarkEnd w:id="1"/>
          <w:r w:rsidDel="00000000" w:rsidR="00000000" w:rsidRPr="00000000">
            <w:fldChar w:fldCharType="begin"/>
            <w:instrText xml:space="preserve"> TOC \h \u \z \t "Heading 1,1,Heading 2,2,Heading 3,3,"</w:instrText>
            <w:fldChar w:fldCharType="separate"/>
          </w:r>
          <w:hyperlink w:anchor="_heading=h.drr4ogzgdl86">
            <w:r w:rsidDel="00000000" w:rsidR="00000000" w:rsidRPr="00000000">
              <w:rPr>
                <w:rtl w:val="0"/>
              </w:rPr>
              <w:t xml:space="preserve">Introduction</w:t>
              <w:tab/>
              <w:t xml:space="preserve">3</w:t>
            </w:r>
          </w:hyperlink>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right" w:leader="none" w:pos="8494"/>
            </w:tabs>
            <w:spacing w:after="100" w:lineRule="auto"/>
            <w:ind w:left="0" w:firstLine="0"/>
            <w:rPr>
              <w:color w:val="000000"/>
            </w:rPr>
          </w:pPr>
          <w:hyperlink w:anchor="_heading=h.rd41xse58iya">
            <w:r w:rsidDel="00000000" w:rsidR="00000000" w:rsidRPr="00000000">
              <w:rPr>
                <w:rtl w:val="0"/>
              </w:rPr>
              <w:t xml:space="preserve">The goals of the Sustainability Plan</w:t>
              <w:tab/>
              <w:t xml:space="preserve">3</w:t>
            </w:r>
          </w:hyperlink>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right" w:leader="none" w:pos="8494"/>
            </w:tabs>
            <w:spacing w:after="100" w:lineRule="auto"/>
            <w:ind w:left="0" w:firstLine="0"/>
            <w:rPr>
              <w:color w:val="000000"/>
            </w:rPr>
          </w:pPr>
          <w:hyperlink w:anchor="_heading=h.1ppul6lyv1c8">
            <w:r w:rsidDel="00000000" w:rsidR="00000000" w:rsidRPr="00000000">
              <w:rPr>
                <w:rtl w:val="0"/>
              </w:rPr>
              <w:t xml:space="preserve">Methodology</w:t>
              <w:tab/>
              <w:t xml:space="preserve">4</w:t>
            </w:r>
          </w:hyperlink>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right" w:leader="none" w:pos="8494"/>
            </w:tabs>
            <w:spacing w:after="100" w:lineRule="auto"/>
            <w:ind w:left="0" w:firstLine="0"/>
            <w:rPr>
              <w:color w:val="000000"/>
            </w:rPr>
          </w:pPr>
          <w:hyperlink w:anchor="_heading=h.puz9qxy0x6jm">
            <w:r w:rsidDel="00000000" w:rsidR="00000000" w:rsidRPr="00000000">
              <w:rPr>
                <w:rtl w:val="0"/>
              </w:rPr>
              <w:t xml:space="preserve">Network Benefits for Members</w:t>
              <w:tab/>
              <w:t xml:space="preserve">5</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1"/>
        <w:ind w:hanging="709"/>
        <w:rPr>
          <w:rFonts w:ascii="Nunito" w:cs="Nunito" w:eastAsia="Nunito" w:hAnsi="Nunito"/>
        </w:rPr>
      </w:pPr>
      <w:bookmarkStart w:colFirst="0" w:colLast="0" w:name="_heading=h.drr4ogzgdl86" w:id="2"/>
      <w:bookmarkEnd w:id="2"/>
      <w:r w:rsidDel="00000000" w:rsidR="00000000" w:rsidRPr="00000000">
        <w:rPr>
          <w:rFonts w:ascii="Nunito" w:cs="Nunito" w:eastAsia="Nunito" w:hAnsi="Nunito"/>
          <w:rtl w:val="0"/>
        </w:rPr>
        <w:t xml:space="preserve">Introduction </w:t>
      </w:r>
    </w:p>
    <w:p w:rsidR="00000000" w:rsidDel="00000000" w:rsidP="00000000" w:rsidRDefault="00000000" w:rsidRPr="00000000" w14:paraId="00000012">
      <w:pPr>
        <w:spacing w:line="240" w:lineRule="auto"/>
        <w:ind w:right="-692" w:hanging="709"/>
        <w:rPr/>
      </w:pPr>
      <w:r w:rsidDel="00000000" w:rsidR="00000000" w:rsidRPr="00000000">
        <w:rPr>
          <w:rtl w:val="0"/>
        </w:rPr>
        <w:t xml:space="preserve">The </w:t>
      </w:r>
      <w:r w:rsidDel="00000000" w:rsidR="00000000" w:rsidRPr="00000000">
        <w:rPr>
          <w:b w:val="1"/>
          <w:rtl w:val="0"/>
        </w:rPr>
        <w:t xml:space="preserve">European Rural Network (ERN)</w:t>
      </w:r>
      <w:r w:rsidDel="00000000" w:rsidR="00000000" w:rsidRPr="00000000">
        <w:rPr>
          <w:rtl w:val="0"/>
        </w:rPr>
        <w:t xml:space="preserve"> is a lasting platform that unites organisations and individuals working to support and promote rural development across Europe. </w:t>
      </w:r>
    </w:p>
    <w:p w:rsidR="00000000" w:rsidDel="00000000" w:rsidP="00000000" w:rsidRDefault="00000000" w:rsidRPr="00000000" w14:paraId="00000013">
      <w:pPr>
        <w:spacing w:line="240" w:lineRule="auto"/>
        <w:ind w:right="-692" w:hanging="709"/>
        <w:rPr/>
      </w:pPr>
      <w:r w:rsidDel="00000000" w:rsidR="00000000" w:rsidRPr="00000000">
        <w:rPr>
          <w:rtl w:val="0"/>
        </w:rPr>
        <w:t xml:space="preserve">The network aims to improve the quality of life for people living in rural areas by improving educational offerings and promoting sustainable development and climate change adaptation. The network also serves as a space for exchange of ideas and best practices among its members and they will have direct access to knowledge on climate change and the PAR approach.</w:t>
      </w:r>
    </w:p>
    <w:p w:rsidR="00000000" w:rsidDel="00000000" w:rsidP="00000000" w:rsidRDefault="00000000" w:rsidRPr="00000000" w14:paraId="00000014">
      <w:pPr>
        <w:spacing w:line="240" w:lineRule="auto"/>
        <w:ind w:right="-692" w:hanging="709"/>
        <w:rPr/>
      </w:pPr>
      <w:r w:rsidDel="00000000" w:rsidR="00000000" w:rsidRPr="00000000">
        <w:rPr>
          <w:rtl w:val="0"/>
        </w:rPr>
        <w:t xml:space="preserve">Ensuring its long-term sustainability is crucial for maintaining and expanding its role as a collaborative hub for innovation, policy exchange, and practical action in rural areas.</w:t>
      </w:r>
    </w:p>
    <w:p w:rsidR="00000000" w:rsidDel="00000000" w:rsidP="00000000" w:rsidRDefault="00000000" w:rsidRPr="00000000" w14:paraId="00000015">
      <w:pPr>
        <w:spacing w:line="240" w:lineRule="auto"/>
        <w:ind w:right="-692" w:hanging="709"/>
        <w:rPr/>
      </w:pPr>
      <w:bookmarkStart w:colFirst="0" w:colLast="0" w:name="_heading=h.3gnaxlwgi9ae" w:id="3"/>
      <w:bookmarkEnd w:id="3"/>
      <w:r w:rsidDel="00000000" w:rsidR="00000000" w:rsidRPr="00000000">
        <w:rPr>
          <w:rtl w:val="0"/>
        </w:rPr>
        <w:t xml:space="preserve">The network brings together a broad and diverse range of stakeholders, including local and regional authorities, public administration professionals, non-governmental organisations, foundations, and companies engaged in rural development. This diversity not only enriches the dialogue within the network but also ensures that its activities are grounded in the realities of rural communities across different contexts.</w:t>
      </w:r>
    </w:p>
    <w:p w:rsidR="00000000" w:rsidDel="00000000" w:rsidP="00000000" w:rsidRDefault="00000000" w:rsidRPr="00000000" w14:paraId="00000016">
      <w:pPr>
        <w:spacing w:line="240" w:lineRule="auto"/>
        <w:ind w:right="-692" w:hanging="709"/>
        <w:rPr/>
      </w:pPr>
      <w:r w:rsidDel="00000000" w:rsidR="00000000" w:rsidRPr="00000000">
        <w:rPr>
          <w:rtl w:val="0"/>
        </w:rPr>
        <w:t xml:space="preserve">Currently, the ERN includes </w:t>
      </w:r>
      <w:hyperlink r:id="rId7">
        <w:r w:rsidDel="00000000" w:rsidR="00000000" w:rsidRPr="00000000">
          <w:rPr>
            <w:b w:val="1"/>
            <w:color w:val="467886"/>
            <w:u w:val="single"/>
            <w:rtl w:val="0"/>
          </w:rPr>
          <w:t xml:space="preserve">50 members</w:t>
        </w:r>
      </w:hyperlink>
      <w:r w:rsidDel="00000000" w:rsidR="00000000" w:rsidRPr="00000000">
        <w:rPr>
          <w:rtl w:val="0"/>
        </w:rPr>
        <w:t xml:space="preserve"> from both the public and private sectors, located in the countries involved in the project. Its growing membership highlights the need for a transnational platform that fosters cooperation, amplifies local successes, and addresses common challenges in rural regions.</w:t>
      </w:r>
    </w:p>
    <w:p w:rsidR="00000000" w:rsidDel="00000000" w:rsidP="00000000" w:rsidRDefault="00000000" w:rsidRPr="00000000" w14:paraId="00000017">
      <w:pPr>
        <w:spacing w:line="240" w:lineRule="auto"/>
        <w:ind w:right="-692" w:hanging="709"/>
        <w:rPr/>
      </w:pPr>
      <w:r w:rsidDel="00000000" w:rsidR="00000000" w:rsidRPr="00000000">
        <w:rPr>
          <w:rtl w:val="0"/>
        </w:rPr>
      </w:r>
    </w:p>
    <w:p w:rsidR="00000000" w:rsidDel="00000000" w:rsidP="00000000" w:rsidRDefault="00000000" w:rsidRPr="00000000" w14:paraId="00000018">
      <w:pPr>
        <w:pStyle w:val="Heading1"/>
        <w:ind w:hanging="709"/>
        <w:rPr>
          <w:rFonts w:ascii="Nunito" w:cs="Nunito" w:eastAsia="Nunito" w:hAnsi="Nunito"/>
        </w:rPr>
      </w:pPr>
      <w:bookmarkStart w:colFirst="0" w:colLast="0" w:name="_heading=h.rd41xse58iya" w:id="4"/>
      <w:bookmarkEnd w:id="4"/>
      <w:r w:rsidDel="00000000" w:rsidR="00000000" w:rsidRPr="00000000">
        <w:rPr>
          <w:rFonts w:ascii="Nunito" w:cs="Nunito" w:eastAsia="Nunito" w:hAnsi="Nunito"/>
          <w:rtl w:val="0"/>
        </w:rPr>
        <w:t xml:space="preserve">The goals of the Sustainability Plan</w:t>
      </w:r>
    </w:p>
    <w:p w:rsidR="00000000" w:rsidDel="00000000" w:rsidP="00000000" w:rsidRDefault="00000000" w:rsidRPr="00000000" w14:paraId="00000019">
      <w:pPr>
        <w:spacing w:line="240" w:lineRule="auto"/>
        <w:ind w:right="-692" w:hanging="709"/>
        <w:rPr/>
      </w:pPr>
      <w:r w:rsidDel="00000000" w:rsidR="00000000" w:rsidRPr="00000000">
        <w:rPr>
          <w:rtl w:val="0"/>
        </w:rPr>
        <w:t xml:space="preserve">The creation of the European Rural Network (ERN) stands as one of the main achievements of the project. In order to ensure the continuity and long-term vitality of this network, ARCES, together with its partners, has developed a dedicated Sustainability Plan.</w:t>
      </w:r>
    </w:p>
    <w:p w:rsidR="00000000" w:rsidDel="00000000" w:rsidP="00000000" w:rsidRDefault="00000000" w:rsidRPr="00000000" w14:paraId="0000001A">
      <w:pPr>
        <w:spacing w:line="240" w:lineRule="auto"/>
        <w:ind w:right="-692" w:hanging="709"/>
        <w:rPr/>
      </w:pPr>
      <w:r w:rsidDel="00000000" w:rsidR="00000000" w:rsidRPr="00000000">
        <w:rPr>
          <w:rtl w:val="0"/>
        </w:rPr>
        <w:t xml:space="preserve">This plan outlines a strategic framework aimed at preserving, expanding, and promoting the ERN in the coming years. Its core objective is to grow a dynamic and collaborative network of individuals, organisations, and institutions that actively share good practices focused on mitigating the impacts of climate change in rural areas.</w:t>
      </w:r>
    </w:p>
    <w:p w:rsidR="00000000" w:rsidDel="00000000" w:rsidP="00000000" w:rsidRDefault="00000000" w:rsidRPr="00000000" w14:paraId="0000001B">
      <w:pPr>
        <w:spacing w:line="240" w:lineRule="auto"/>
        <w:ind w:right="-692" w:hanging="709"/>
        <w:rPr/>
      </w:pPr>
      <w:r w:rsidDel="00000000" w:rsidR="00000000" w:rsidRPr="00000000">
        <w:rPr>
          <w:rtl w:val="0"/>
        </w:rPr>
        <w:t xml:space="preserve">Through continued collaboration, knowledge exchange, and engagement with new and existing stakeholders, the ERN aspires to remain a long-lasting platform for supporting sustainable development in rural communities across Europe.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1"/>
        <w:ind w:hanging="709"/>
        <w:rPr>
          <w:rFonts w:ascii="Nunito" w:cs="Nunito" w:eastAsia="Nunito" w:hAnsi="Nunito"/>
        </w:rPr>
      </w:pPr>
      <w:bookmarkStart w:colFirst="0" w:colLast="0" w:name="_heading=h.1ppul6lyv1c8" w:id="5"/>
      <w:bookmarkEnd w:id="5"/>
      <w:r w:rsidDel="00000000" w:rsidR="00000000" w:rsidRPr="00000000">
        <w:rPr>
          <w:rFonts w:ascii="Nunito" w:cs="Nunito" w:eastAsia="Nunito" w:hAnsi="Nunito"/>
          <w:rtl w:val="0"/>
        </w:rPr>
        <w:t xml:space="preserve">Methodology </w:t>
      </w:r>
    </w:p>
    <w:p w:rsidR="00000000" w:rsidDel="00000000" w:rsidP="00000000" w:rsidRDefault="00000000" w:rsidRPr="00000000" w14:paraId="0000001E">
      <w:pPr>
        <w:spacing w:line="240" w:lineRule="auto"/>
        <w:ind w:right="-692" w:hanging="709"/>
        <w:rPr>
          <w:b w:val="1"/>
        </w:rPr>
      </w:pPr>
      <w:r w:rsidDel="00000000" w:rsidR="00000000" w:rsidRPr="00000000">
        <w:rPr>
          <w:rtl w:val="0"/>
        </w:rPr>
        <w:t xml:space="preserve">To ensure the long-term sustainability of the ERN, the project partners believe that </w:t>
      </w:r>
      <w:r w:rsidDel="00000000" w:rsidR="00000000" w:rsidRPr="00000000">
        <w:rPr>
          <w:b w:val="1"/>
          <w:rtl w:val="0"/>
        </w:rPr>
        <w:t xml:space="preserve">communication and awareness raising actions </w:t>
      </w:r>
      <w:r w:rsidDel="00000000" w:rsidR="00000000" w:rsidRPr="00000000">
        <w:rPr>
          <w:rtl w:val="0"/>
        </w:rPr>
        <w:t xml:space="preserve">are very important. To this end they have identified practical </w:t>
      </w:r>
      <w:r w:rsidDel="00000000" w:rsidR="00000000" w:rsidRPr="00000000">
        <w:rPr>
          <w:b w:val="1"/>
          <w:rtl w:val="0"/>
        </w:rPr>
        <w:t xml:space="preserve">tools and approaches</w:t>
      </w:r>
      <w:r w:rsidDel="00000000" w:rsidR="00000000" w:rsidRPr="00000000">
        <w:rPr>
          <w:rtl w:val="0"/>
        </w:rPr>
        <w:t xml:space="preserve"> that can support the ongoing growth and relevance of the network beyond the project’s official timeframe. The partners commit themselves to promote the network through </w:t>
      </w:r>
      <w:r w:rsidDel="00000000" w:rsidR="00000000" w:rsidRPr="00000000">
        <w:rPr>
          <w:b w:val="1"/>
          <w:rtl w:val="0"/>
        </w:rPr>
        <w:t xml:space="preserve">several actions: </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pacing w:after="0" w:line="240" w:lineRule="auto"/>
        <w:ind w:left="11" w:right="-692" w:hanging="360"/>
        <w:rPr>
          <w:b w:val="1"/>
        </w:rPr>
      </w:pPr>
      <w:r w:rsidDel="00000000" w:rsidR="00000000" w:rsidRPr="00000000">
        <w:rPr>
          <w:b w:val="1"/>
          <w:rtl w:val="0"/>
        </w:rPr>
        <w:t xml:space="preserve">The maintenance of the Project website after the funding ends. </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pacing w:after="0" w:before="0" w:line="240" w:lineRule="auto"/>
        <w:ind w:left="11" w:right="-692" w:hanging="360"/>
        <w:rPr/>
      </w:pPr>
      <w:r w:rsidDel="00000000" w:rsidR="00000000" w:rsidRPr="00000000">
        <w:rPr>
          <w:b w:val="1"/>
          <w:rtl w:val="0"/>
        </w:rPr>
        <w:t xml:space="preserve">Dissemination of the </w:t>
      </w:r>
      <w:hyperlink r:id="rId8">
        <w:r w:rsidDel="00000000" w:rsidR="00000000" w:rsidRPr="00000000">
          <w:rPr>
            <w:b w:val="1"/>
            <w:color w:val="467886"/>
            <w:u w:val="single"/>
            <w:rtl w:val="0"/>
          </w:rPr>
          <w:t xml:space="preserve">Membership Invitation letter</w:t>
        </w:r>
      </w:hyperlink>
      <w:r w:rsidDel="00000000" w:rsidR="00000000" w:rsidRPr="00000000">
        <w:rPr>
          <w:b w:val="1"/>
          <w:rtl w:val="0"/>
        </w:rPr>
        <w:t xml:space="preserve">, </w:t>
      </w:r>
      <w:r w:rsidDel="00000000" w:rsidR="00000000" w:rsidRPr="00000000">
        <w:rPr>
          <w:rtl w:val="0"/>
        </w:rPr>
        <w:t xml:space="preserve">available on the official project website, to encourage new members to join the ERN. </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pacing w:after="0" w:before="0" w:line="240" w:lineRule="auto"/>
        <w:ind w:left="11" w:right="-692" w:hanging="360"/>
        <w:rPr>
          <w:b w:val="1"/>
        </w:rPr>
      </w:pPr>
      <w:bookmarkStart w:colFirst="0" w:colLast="0" w:name="_heading=h.mdfzuhx4b8ve" w:id="6"/>
      <w:bookmarkEnd w:id="6"/>
      <w:r w:rsidDel="00000000" w:rsidR="00000000" w:rsidRPr="00000000">
        <w:rPr>
          <w:b w:val="1"/>
          <w:rtl w:val="0"/>
        </w:rPr>
        <w:t xml:space="preserve">Creation of a dedicated LinkedIn Group</w:t>
      </w:r>
      <w:r w:rsidDel="00000000" w:rsidR="00000000" w:rsidRPr="00000000">
        <w:rPr>
          <w:rtl w:val="0"/>
        </w:rPr>
        <w:t xml:space="preserve"> to share events, ideas, and best practices related to rural development and climate change mitigation across different territories. This group offers a space for continuous exchange and collaboration among network members remaining active after the end of the project. </w:t>
      </w:r>
      <w:r w:rsidDel="00000000" w:rsidR="00000000" w:rsidRPr="00000000">
        <w:rPr>
          <w:rtl w:val="0"/>
        </w:rPr>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pacing w:after="0" w:before="0" w:line="240" w:lineRule="auto"/>
        <w:ind w:left="11" w:right="-692" w:hanging="360"/>
        <w:rPr>
          <w:b w:val="1"/>
        </w:rPr>
      </w:pPr>
      <w:r w:rsidDel="00000000" w:rsidR="00000000" w:rsidRPr="00000000">
        <w:rPr>
          <w:b w:val="1"/>
          <w:rtl w:val="0"/>
        </w:rPr>
        <w:t xml:space="preserve">Dissemination and enrichment of the </w:t>
      </w:r>
      <w:hyperlink r:id="rId9">
        <w:r w:rsidDel="00000000" w:rsidR="00000000" w:rsidRPr="00000000">
          <w:rPr>
            <w:b w:val="1"/>
            <w:color w:val="467886"/>
            <w:u w:val="single"/>
            <w:rtl w:val="0"/>
          </w:rPr>
          <w:t xml:space="preserve">Interactive SURF Online Map</w:t>
        </w:r>
      </w:hyperlink>
      <w:r w:rsidDel="00000000" w:rsidR="00000000" w:rsidRPr="00000000">
        <w:rPr>
          <w:b w:val="1"/>
          <w:rtl w:val="0"/>
        </w:rPr>
        <w:t xml:space="preserve"> </w:t>
      </w:r>
      <w:r w:rsidDel="00000000" w:rsidR="00000000" w:rsidRPr="00000000">
        <w:rPr>
          <w:rtl w:val="0"/>
        </w:rPr>
        <w:t xml:space="preserve">that shows case studies from different parts of Europe. This map acts as both a repository of inspiring local mitigation strategies and an incentive for new stakeholders to join the network. </w:t>
      </w:r>
      <w:r w:rsidDel="00000000" w:rsidR="00000000" w:rsidRPr="00000000">
        <w:rPr>
          <w:u w:val="single"/>
          <w:rtl w:val="0"/>
        </w:rPr>
        <w:t xml:space="preserve">New members are encouraged to contribute their own examples of climate resilience and sustainable practices</w:t>
      </w:r>
      <w:r w:rsidDel="00000000" w:rsidR="00000000" w:rsidRPr="00000000">
        <w:rPr>
          <w:rtl w:val="0"/>
        </w:rPr>
        <w:t xml:space="preserve">, enriching the map and fostering greater awareness and knowledge-sharing across Europe.</w:t>
      </w:r>
      <w:r w:rsidDel="00000000" w:rsidR="00000000" w:rsidRPr="00000000">
        <w:rPr>
          <w:rtl w:val="0"/>
        </w:rPr>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pacing w:after="0" w:before="0" w:line="240" w:lineRule="auto"/>
        <w:ind w:left="11" w:right="-692" w:hanging="360"/>
        <w:rPr>
          <w:b w:val="1"/>
        </w:rPr>
      </w:pPr>
      <w:r w:rsidDel="00000000" w:rsidR="00000000" w:rsidRPr="00000000">
        <w:rPr>
          <w:b w:val="1"/>
          <w:rtl w:val="0"/>
        </w:rPr>
        <w:t xml:space="preserve">Create a section for the ERN on each partner's institutional project website </w:t>
      </w:r>
      <w:r w:rsidDel="00000000" w:rsidR="00000000" w:rsidRPr="00000000">
        <w:rPr>
          <w:rtl w:val="0"/>
        </w:rPr>
        <w:t xml:space="preserve">to enhance the visibility and outreach of the ERN.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26539</wp:posOffset>
            </wp:positionH>
            <wp:positionV relativeFrom="paragraph">
              <wp:posOffset>45720</wp:posOffset>
            </wp:positionV>
            <wp:extent cx="2613600" cy="1238400"/>
            <wp:effectExtent b="0" l="0" r="0" t="0"/>
            <wp:wrapSquare wrapText="bothSides" distB="0" distT="0" distL="114300" distR="114300"/>
            <wp:docPr id="1751459865"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613600" cy="1238400"/>
                    </a:xfrm>
                    <a:prstGeom prst="rect"/>
                    <a:ln/>
                  </pic:spPr>
                </pic:pic>
              </a:graphicData>
            </a:graphic>
          </wp:anchor>
        </w:drawing>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before="0" w:line="240" w:lineRule="auto"/>
        <w:ind w:left="11" w:right="-692" w:firstLine="0"/>
        <w:rPr>
          <w:b w:val="1"/>
        </w:rPr>
      </w:pPr>
      <w:r w:rsidDel="00000000" w:rsidR="00000000" w:rsidRPr="00000000">
        <w:rPr>
          <w:b w:val="1"/>
          <w:rtl w:val="0"/>
        </w:rPr>
        <w:t xml:space="preserve">6. Sign the Palermo Declaration, </w:t>
      </w:r>
      <w:r w:rsidDel="00000000" w:rsidR="00000000" w:rsidRPr="00000000">
        <w:rPr>
          <w:rtl w:val="0"/>
        </w:rPr>
        <w:t xml:space="preserve">a document issued in Palermo during the final project closing event on October 28, 2025. Its purpose is to promote the ERN and attract new members attending the event.</w:t>
      </w:r>
      <w:r w:rsidDel="00000000" w:rsidR="00000000" w:rsidRPr="00000000">
        <w:rPr>
          <w:b w:val="1"/>
          <w:rtl w:val="0"/>
        </w:rPr>
        <w:t xml:space="preserve"> </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before="0" w:line="240" w:lineRule="auto"/>
        <w:ind w:left="11" w:right="-692" w:firstLine="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0" w:line="240" w:lineRule="auto"/>
        <w:ind w:left="11" w:right="-692" w:firstLine="0"/>
        <w:rPr>
          <w:b w:val="1"/>
        </w:rPr>
      </w:pPr>
      <w:r w:rsidDel="00000000" w:rsidR="00000000" w:rsidRPr="00000000">
        <w:rPr>
          <w:rtl w:val="0"/>
        </w:rPr>
        <w:t xml:space="preserve">These activities are designed not only to support ongoing engagement but also to reinforce the ERN as a living, evolving platform for innovation and collaboration in rural sustainability.</w:t>
      </w:r>
      <w:r w:rsidDel="00000000" w:rsidR="00000000" w:rsidRPr="00000000">
        <w:rPr>
          <w:rtl w:val="0"/>
        </w:rPr>
      </w:r>
    </w:p>
    <w:p w:rsidR="00000000" w:rsidDel="00000000" w:rsidP="00000000" w:rsidRDefault="00000000" w:rsidRPr="00000000" w14:paraId="00000027">
      <w:pPr>
        <w:spacing w:line="240" w:lineRule="auto"/>
        <w:ind w:right="-692" w:hanging="709"/>
        <w:rPr/>
      </w:pPr>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ind w:hanging="709"/>
        <w:rPr>
          <w:rFonts w:ascii="Nunito" w:cs="Nunito" w:eastAsia="Nunito" w:hAnsi="Nunito"/>
        </w:rPr>
      </w:pPr>
      <w:bookmarkStart w:colFirst="0" w:colLast="0" w:name="_heading=h.puz9qxy0x6jm" w:id="7"/>
      <w:bookmarkEnd w:id="7"/>
      <w:r w:rsidDel="00000000" w:rsidR="00000000" w:rsidRPr="00000000">
        <w:rPr>
          <w:rFonts w:ascii="Nunito" w:cs="Nunito" w:eastAsia="Nunito" w:hAnsi="Nunito"/>
          <w:rtl w:val="0"/>
        </w:rPr>
        <w:t xml:space="preserve">Network Benefits for Members </w:t>
      </w:r>
    </w:p>
    <w:p w:rsidR="00000000" w:rsidDel="00000000" w:rsidP="00000000" w:rsidRDefault="00000000" w:rsidRPr="00000000" w14:paraId="00000029">
      <w:pPr>
        <w:spacing w:line="240" w:lineRule="auto"/>
        <w:ind w:hanging="709"/>
        <w:rPr/>
      </w:pPr>
      <w:r w:rsidDel="00000000" w:rsidR="00000000" w:rsidRPr="00000000">
        <w:rPr>
          <w:rtl w:val="0"/>
        </w:rPr>
        <w:t xml:space="preserve">To encourage continued participation, it is essential to clearly communicate the value of being part of the SURF network. Both individuals and organizations will benefit from:</w:t>
      </w:r>
    </w:p>
    <w:p w:rsidR="00000000" w:rsidDel="00000000" w:rsidP="00000000" w:rsidRDefault="00000000" w:rsidRPr="00000000" w14:paraId="0000002A">
      <w:pPr>
        <w:numPr>
          <w:ilvl w:val="0"/>
          <w:numId w:val="1"/>
        </w:numPr>
        <w:spacing w:line="240" w:lineRule="auto"/>
        <w:ind w:left="720" w:right="0" w:hanging="360"/>
        <w:rPr/>
      </w:pPr>
      <w:r w:rsidDel="00000000" w:rsidR="00000000" w:rsidRPr="00000000">
        <w:rPr>
          <w:b w:val="1"/>
          <w:rtl w:val="0"/>
        </w:rPr>
        <w:t xml:space="preserve">Access to high-quality resources</w:t>
      </w:r>
      <w:r w:rsidDel="00000000" w:rsidR="00000000" w:rsidRPr="00000000">
        <w:rPr>
          <w:rtl w:val="0"/>
        </w:rPr>
        <w:t xml:space="preserve">: Ongoing access to SURF’s training materials, methodologies, case studies, and toolkits developed during the project.</w:t>
      </w:r>
    </w:p>
    <w:p w:rsidR="00000000" w:rsidDel="00000000" w:rsidP="00000000" w:rsidRDefault="00000000" w:rsidRPr="00000000" w14:paraId="0000002B">
      <w:pPr>
        <w:numPr>
          <w:ilvl w:val="0"/>
          <w:numId w:val="1"/>
        </w:numPr>
        <w:spacing w:line="240" w:lineRule="auto"/>
        <w:ind w:left="720" w:right="0" w:hanging="360"/>
        <w:rPr/>
      </w:pPr>
      <w:r w:rsidDel="00000000" w:rsidR="00000000" w:rsidRPr="00000000">
        <w:rPr>
          <w:b w:val="1"/>
          <w:rtl w:val="0"/>
        </w:rPr>
        <w:t xml:space="preserve">Visibility and recognition</w:t>
      </w:r>
      <w:r w:rsidDel="00000000" w:rsidR="00000000" w:rsidRPr="00000000">
        <w:rPr>
          <w:rtl w:val="0"/>
        </w:rPr>
        <w:t xml:space="preserve">: Opportunities to showcase activities, share best practices, and be featured in SURF-related dissemination efforts.</w:t>
      </w:r>
    </w:p>
    <w:p w:rsidR="00000000" w:rsidDel="00000000" w:rsidP="00000000" w:rsidRDefault="00000000" w:rsidRPr="00000000" w14:paraId="0000002C">
      <w:pPr>
        <w:numPr>
          <w:ilvl w:val="0"/>
          <w:numId w:val="1"/>
        </w:numPr>
        <w:spacing w:line="240" w:lineRule="auto"/>
        <w:ind w:left="720" w:right="0" w:hanging="360"/>
        <w:rPr/>
      </w:pPr>
      <w:r w:rsidDel="00000000" w:rsidR="00000000" w:rsidRPr="00000000">
        <w:rPr>
          <w:b w:val="1"/>
          <w:rtl w:val="0"/>
        </w:rPr>
        <w:t xml:space="preserve">Collaboration opportunities</w:t>
      </w:r>
      <w:r w:rsidDel="00000000" w:rsidR="00000000" w:rsidRPr="00000000">
        <w:rPr>
          <w:rtl w:val="0"/>
        </w:rPr>
        <w:t xml:space="preserve">: Invitations to participate in future projects, research, and policy initiatives promoted by the network or its members.</w:t>
      </w:r>
    </w:p>
    <w:p w:rsidR="00000000" w:rsidDel="00000000" w:rsidP="00000000" w:rsidRDefault="00000000" w:rsidRPr="00000000" w14:paraId="0000002D">
      <w:pPr>
        <w:numPr>
          <w:ilvl w:val="0"/>
          <w:numId w:val="1"/>
        </w:numPr>
        <w:spacing w:line="240" w:lineRule="auto"/>
        <w:ind w:left="720" w:right="0" w:hanging="360"/>
        <w:rPr/>
      </w:pPr>
      <w:r w:rsidDel="00000000" w:rsidR="00000000" w:rsidRPr="00000000">
        <w:rPr>
          <w:b w:val="1"/>
          <w:rtl w:val="0"/>
        </w:rPr>
        <w:t xml:space="preserve">Peer exchange and knowledge sharing</w:t>
      </w:r>
      <w:r w:rsidDel="00000000" w:rsidR="00000000" w:rsidRPr="00000000">
        <w:rPr>
          <w:rtl w:val="0"/>
        </w:rPr>
        <w:t xml:space="preserve">: Participation in thematic discussions, webinars, and online forums where members can exchange experiences, challenges, and solutions.</w:t>
      </w:r>
    </w:p>
    <w:p w:rsidR="00000000" w:rsidDel="00000000" w:rsidP="00000000" w:rsidRDefault="00000000" w:rsidRPr="00000000" w14:paraId="0000002E">
      <w:pPr>
        <w:numPr>
          <w:ilvl w:val="0"/>
          <w:numId w:val="1"/>
        </w:numPr>
        <w:spacing w:line="240" w:lineRule="auto"/>
        <w:ind w:left="720" w:right="0" w:hanging="360"/>
        <w:rPr/>
      </w:pPr>
      <w:r w:rsidDel="00000000" w:rsidR="00000000" w:rsidRPr="00000000">
        <w:rPr>
          <w:b w:val="1"/>
          <w:rtl w:val="0"/>
        </w:rPr>
        <w:t xml:space="preserve">Professional development</w:t>
      </w:r>
      <w:r w:rsidDel="00000000" w:rsidR="00000000" w:rsidRPr="00000000">
        <w:rPr>
          <w:rtl w:val="0"/>
        </w:rPr>
        <w:t xml:space="preserve">: Learning opportunities through continued engagement with experts, access to resources, and participation in joint events or training.</w:t>
      </w:r>
    </w:p>
    <w:p w:rsidR="00000000" w:rsidDel="00000000" w:rsidP="00000000" w:rsidRDefault="00000000" w:rsidRPr="00000000" w14:paraId="0000002F">
      <w:pPr>
        <w:spacing w:line="240" w:lineRule="auto"/>
        <w:ind w:left="0" w:firstLine="0"/>
        <w:rPr>
          <w:b w:val="1"/>
          <w:highlight w:val="yellow"/>
        </w:rPr>
      </w:pPr>
      <w:r w:rsidDel="00000000" w:rsidR="00000000" w:rsidRPr="00000000">
        <w:rPr>
          <w:rtl w:val="0"/>
        </w:rPr>
      </w:r>
    </w:p>
    <w:sectPr>
      <w:headerReference r:id="rId11" w:type="default"/>
      <w:footerReference r:id="rId12" w:type="default"/>
      <w:pgSz w:h="16838" w:w="11906" w:orient="portrait"/>
      <w:pgMar w:bottom="1674" w:top="2409" w:left="1701" w:right="1701" w:header="708" w:footer="58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Nunito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
    <w:embedRegular w:fontKey="{00000000-0000-0000-0000-000000000000}" r:id="rId5" w:subsetted="0"/>
    <w:embedBold w:fontKey="{00000000-0000-0000-0000-000000000000}" r:id="rId6" w:subsetted="0"/>
  </w:font>
  <w:font w:name="Nunito">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Noto Sans Symbols">
    <w:embedRegular w:fontKey="{00000000-0000-0000-0000-000000000000}" r:id="rId11" w:subsetted="0"/>
    <w:embedBold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tabs>
        <w:tab w:val="left" w:leader="none" w:pos="1755"/>
      </w:tabs>
      <w:spacing w:after="0" w:before="0" w:line="240" w:lineRule="auto"/>
      <w:ind w:left="-850" w:right="-692" w:firstLine="0"/>
      <w:rPr>
        <w:sz w:val="18"/>
        <w:szCs w:val="18"/>
      </w:rPr>
    </w:pPr>
    <w:bookmarkStart w:colFirst="0" w:colLast="0" w:name="_heading=h.gjdgxs" w:id="8"/>
    <w:bookmarkEnd w:id="8"/>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center" w:leader="none" w:pos="4252"/>
        <w:tab w:val="right" w:leader="none" w:pos="8504"/>
      </w:tabs>
      <w:spacing w:after="0" w:before="0" w:line="240" w:lineRule="auto"/>
      <w:ind w:left="0" w:right="0" w:firstLine="0"/>
      <w:jc w:val="left"/>
      <w:rPr>
        <w:color w:val="000000"/>
      </w:rPr>
    </w:pPr>
    <w:r w:rsidDel="00000000" w:rsidR="00000000" w:rsidRPr="00000000">
      <w:rPr>
        <w:color w:val="000000"/>
      </w:rPr>
      <mc:AlternateContent>
        <mc:Choice Requires="wpg">
          <w:drawing>
            <wp:anchor allowOverlap="1" behindDoc="0" distB="0" distT="0" distL="114300" distR="114300" hidden="0" layoutInCell="1" locked="0" relativeHeight="0" simplePos="0">
              <wp:simplePos x="0" y="0"/>
              <wp:positionH relativeFrom="rightMargin">
                <wp:align>center</wp:align>
              </wp:positionH>
              <wp:positionV relativeFrom="page">
                <wp:posOffset>2138045</wp:posOffset>
              </wp:positionV>
              <wp:extent cx="488315" cy="237490"/>
              <wp:effectExtent b="0" l="0" r="0" t="0"/>
              <wp:wrapNone/>
              <wp:docPr id="1751459864" name=""/>
              <a:graphic>
                <a:graphicData uri="http://schemas.microsoft.com/office/word/2010/wordprocessingGroup">
                  <wpg:wgp>
                    <wpg:cNvGrpSpPr/>
                    <wpg:grpSpPr>
                      <a:xfrm>
                        <a:off x="5101825" y="3089750"/>
                        <a:ext cx="488315" cy="237490"/>
                        <a:chOff x="5101825" y="3089750"/>
                        <a:chExt cx="561150" cy="1384575"/>
                      </a:xfrm>
                    </wpg:grpSpPr>
                    <wpg:grpSp>
                      <wpg:cNvGrpSpPr/>
                      <wpg:grpSpPr>
                        <a:xfrm>
                          <a:off x="5101843" y="3661255"/>
                          <a:ext cx="488315" cy="237490"/>
                          <a:chOff x="5101825" y="3193325"/>
                          <a:chExt cx="488350" cy="1177100"/>
                        </a:xfrm>
                      </wpg:grpSpPr>
                      <wps:wsp>
                        <wps:cNvSpPr/>
                        <wps:cNvPr id="3" name="Shape 3"/>
                        <wps:spPr>
                          <a:xfrm>
                            <a:off x="5101825" y="3193325"/>
                            <a:ext cx="488350" cy="1177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101843" y="3661255"/>
                            <a:ext cx="488315" cy="237490"/>
                            <a:chOff x="689" y="3255"/>
                            <a:chExt cx="769" cy="374"/>
                          </a:xfrm>
                        </wpg:grpSpPr>
                        <wps:wsp>
                          <wps:cNvSpPr/>
                          <wps:cNvPr id="5" name="Shape 5"/>
                          <wps:spPr>
                            <a:xfrm>
                              <a:off x="689" y="3255"/>
                              <a:ext cx="750" cy="350"/>
                            </a:xfrm>
                            <a:prstGeom prst="rect">
                              <a:avLst/>
                            </a:prstGeom>
                            <a:noFill/>
                            <a:ln>
                              <a:noFill/>
                            </a:ln>
                          </wps:spPr>
                          <wps:txbx>
                            <w:txbxContent>
                              <w:p w:rsidR="00000000" w:rsidDel="00000000" w:rsidP="00000000" w:rsidRDefault="00000000" w:rsidRPr="00000000">
                                <w:pPr>
                                  <w:spacing w:after="0" w:before="0" w:line="240"/>
                                  <w:ind w:left="0" w:right="0" w:firstLine="709.0000152587891"/>
                                  <w:jc w:val="left"/>
                                  <w:textDirection w:val="btLr"/>
                                </w:pPr>
                              </w:p>
                            </w:txbxContent>
                          </wps:txbx>
                          <wps:bodyPr anchorCtr="0" anchor="ctr" bIns="91425" lIns="91425" spcFirstLastPara="1" rIns="91425" wrap="square" tIns="91425">
                            <a:noAutofit/>
                          </wps:bodyPr>
                        </wps:wsp>
                        <wps:wsp>
                          <wps:cNvSpPr/>
                          <wps:cNvPr id="6" name="Shape 6"/>
                          <wps:spPr>
                            <a:xfrm>
                              <a:off x="689" y="3263"/>
                              <a:ext cx="769" cy="360"/>
                            </a:xfrm>
                            <a:prstGeom prst="rect">
                              <a:avLst/>
                            </a:prstGeom>
                            <a:noFill/>
                            <a:ln>
                              <a:noFill/>
                            </a:ln>
                          </wps:spPr>
                          <wps:txbx>
                            <w:txbxContent>
                              <w:p w:rsidR="00000000" w:rsidDel="00000000" w:rsidP="00000000" w:rsidRDefault="00000000" w:rsidRPr="00000000">
                                <w:pPr>
                                  <w:spacing w:after="0" w:before="0" w:line="240"/>
                                  <w:ind w:left="0" w:right="0" w:firstLine="709.0000152587891"/>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PAGE    \* MERGEFORMAT</w:t>
                                </w:r>
                                <w:r w:rsidDel="00000000" w:rsidR="00000000" w:rsidRPr="00000000">
                                  <w:rPr>
                                    <w:rFonts w:ascii="Arial" w:cs="Arial" w:eastAsia="Arial" w:hAnsi="Arial"/>
                                    <w:b w:val="1"/>
                                    <w:i w:val="0"/>
                                    <w:smallCaps w:val="0"/>
                                    <w:strike w:val="0"/>
                                    <w:color w:val="074e6a"/>
                                    <w:sz w:val="16"/>
                                    <w:vertAlign w:val="baseline"/>
                                  </w:rPr>
                                  <w:t xml:space="preserve">2</w:t>
                                </w:r>
                              </w:p>
                            </w:txbxContent>
                          </wps:txbx>
                          <wps:bodyPr anchorCtr="0" anchor="ctr" bIns="0" lIns="0" spcFirstLastPara="1" rIns="0" wrap="square" tIns="0">
                            <a:noAutofit/>
                          </wps:bodyPr>
                        </wps:wsp>
                        <wpg:grpSp>
                          <wpg:cNvGrpSpPr/>
                          <wpg:grpSpPr>
                            <a:xfrm>
                              <a:off x="886" y="3255"/>
                              <a:ext cx="374" cy="374"/>
                              <a:chOff x="1453" y="14832"/>
                              <a:chExt cx="374" cy="374"/>
                            </a:xfrm>
                          </wpg:grpSpPr>
                          <wps:wsp>
                            <wps:cNvSpPr/>
                            <wps:cNvPr id="8" name="Shape 8"/>
                            <wps:spPr>
                              <a:xfrm>
                                <a:off x="1453" y="14832"/>
                                <a:ext cx="374" cy="374"/>
                              </a:xfrm>
                              <a:prstGeom prst="ellipse">
                                <a:avLst/>
                              </a:prstGeom>
                              <a:noFill/>
                              <a:ln cap="flat" cmpd="sng" w="9525">
                                <a:solidFill>
                                  <a:srgbClr val="84A2C6"/>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709.0000152587891"/>
                                    <w:jc w:val="left"/>
                                    <w:textDirection w:val="btLr"/>
                                  </w:pPr>
                                </w:p>
                              </w:txbxContent>
                            </wps:txbx>
                            <wps:bodyPr anchorCtr="0" anchor="ctr" bIns="91425" lIns="91425" spcFirstLastPara="1" rIns="91425" wrap="square" tIns="91425">
                              <a:noAutofit/>
                            </wps:bodyPr>
                          </wps:wsp>
                          <wps:wsp>
                            <wps:cNvSpPr/>
                            <wps:cNvPr id="9" name="Shape 9"/>
                            <wps:spPr>
                              <a:xfrm>
                                <a:off x="1462" y="14835"/>
                                <a:ext cx="101" cy="101"/>
                              </a:xfrm>
                              <a:prstGeom prst="ellipse">
                                <a:avLst/>
                              </a:prstGeom>
                              <a:solidFill>
                                <a:srgbClr val="84A2C6"/>
                              </a:solidFill>
                              <a:ln>
                                <a:noFill/>
                              </a:ln>
                            </wps:spPr>
                            <wps:txbx>
                              <w:txbxContent>
                                <w:p w:rsidR="00000000" w:rsidDel="00000000" w:rsidP="00000000" w:rsidRDefault="00000000" w:rsidRPr="00000000">
                                  <w:pPr>
                                    <w:spacing w:after="0" w:before="0" w:line="240"/>
                                    <w:ind w:left="0" w:right="0" w:firstLine="709.0000152587891"/>
                                    <w:jc w:val="left"/>
                                    <w:textDirection w:val="btLr"/>
                                  </w:pPr>
                                </w:p>
                              </w:txbxContent>
                            </wps:txbx>
                            <wps:bodyPr anchorCtr="0" anchor="ctr" bIns="91425" lIns="91425" spcFirstLastPara="1" rIns="91425" wrap="square" tIns="91425">
                              <a:noAutofit/>
                            </wps:bodyPr>
                          </wps:wsp>
                        </wpg:grpSp>
                      </wpg:grpSp>
                    </wpg:grpSp>
                  </wpg:wgp>
                </a:graphicData>
              </a:graphic>
            </wp:anchor>
          </w:drawing>
        </mc:Choice>
        <mc:Fallback>
          <w:drawing>
            <wp:anchor allowOverlap="1" behindDoc="0" distB="0" distT="0" distL="114300" distR="114300" hidden="0" layoutInCell="1" locked="0" relativeHeight="0" simplePos="0">
              <wp:simplePos x="0" y="0"/>
              <wp:positionH relativeFrom="rightMargin">
                <wp:align>center</wp:align>
              </wp:positionH>
              <wp:positionV relativeFrom="page">
                <wp:posOffset>2138045</wp:posOffset>
              </wp:positionV>
              <wp:extent cx="488315" cy="237490"/>
              <wp:effectExtent b="0" l="0" r="0" t="0"/>
              <wp:wrapNone/>
              <wp:docPr id="1751459864"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88315" cy="237490"/>
                      </a:xfrm>
                      <a:prstGeom prst="rect"/>
                      <a:ln/>
                    </pic:spPr>
                  </pic:pic>
                </a:graphicData>
              </a:graphic>
            </wp:anchor>
          </w:drawing>
        </mc:Fallback>
      </mc:AlternateContent>
    </w:r>
    <w:r w:rsidDel="00000000" w:rsidR="00000000" w:rsidRPr="00000000">
      <w:rPr>
        <w:color w:val="000000"/>
      </w:rPr>
      <w:drawing>
        <wp:anchor allowOverlap="1" behindDoc="1" distB="0" distT="0" distL="0" distR="0" hidden="0" layoutInCell="1" locked="0" relativeHeight="0" simplePos="0">
          <wp:simplePos x="0" y="0"/>
          <wp:positionH relativeFrom="page">
            <wp:posOffset>-5712</wp:posOffset>
          </wp:positionH>
          <wp:positionV relativeFrom="page">
            <wp:posOffset>1905</wp:posOffset>
          </wp:positionV>
          <wp:extent cx="7587615" cy="10719012"/>
          <wp:effectExtent b="0" l="0" r="0" t="0"/>
          <wp:wrapNone/>
          <wp:docPr id="1751459866"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7587615" cy="10719012"/>
                  </a:xfrm>
                  <a:prstGeom prst="rect"/>
                  <a:ln/>
                </pic:spPr>
              </pic:pic>
            </a:graphicData>
          </a:graphic>
        </wp:anchor>
      </w:drawing>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tabs>
        <w:tab w:val="center" w:leader="none" w:pos="4252"/>
        <w:tab w:val="right" w:leader="none" w:pos="8504"/>
      </w:tabs>
      <w:spacing w:after="0" w:before="0" w:line="240" w:lineRule="auto"/>
      <w:ind w:left="0" w:right="0" w:firstLine="0"/>
      <w:jc w:val="left"/>
      <w:rPr>
        <w:color w:val="00000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center" w:leader="none" w:pos="4252"/>
        <w:tab w:val="right" w:leader="none" w:pos="8504"/>
      </w:tabs>
      <w:spacing w:after="0" w:before="0" w:line="240" w:lineRule="auto"/>
      <w:ind w:left="0" w:right="0" w:firstLine="0"/>
      <w:jc w:val="left"/>
      <w:rPr>
        <w:color w:val="000000"/>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left" w:leader="none" w:pos="3195"/>
      </w:tabs>
      <w:spacing w:after="0" w:before="0" w:line="240" w:lineRule="auto"/>
      <w:ind w:left="0" w:right="0" w:firstLine="0"/>
      <w:jc w:val="left"/>
      <w:rPr>
        <w:color w:val="000000"/>
      </w:rPr>
    </w:pPr>
    <w:r w:rsidDel="00000000" w:rsidR="00000000" w:rsidRPr="00000000">
      <w:rPr>
        <w:color w:val="000000"/>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11" w:hanging="360"/>
      </w:pPr>
      <w:rPr/>
    </w:lvl>
    <w:lvl w:ilvl="1">
      <w:start w:val="1"/>
      <w:numFmt w:val="lowerLetter"/>
      <w:lvlText w:val="%2."/>
      <w:lvlJc w:val="left"/>
      <w:pPr>
        <w:ind w:left="731" w:hanging="360.00000000000006"/>
      </w:pPr>
      <w:rPr/>
    </w:lvl>
    <w:lvl w:ilvl="2">
      <w:start w:val="1"/>
      <w:numFmt w:val="lowerRoman"/>
      <w:lvlText w:val="%3."/>
      <w:lvlJc w:val="right"/>
      <w:pPr>
        <w:ind w:left="1451" w:hanging="180"/>
      </w:pPr>
      <w:rPr/>
    </w:lvl>
    <w:lvl w:ilvl="3">
      <w:start w:val="1"/>
      <w:numFmt w:val="decimal"/>
      <w:lvlText w:val="%4."/>
      <w:lvlJc w:val="left"/>
      <w:pPr>
        <w:ind w:left="2171" w:hanging="360"/>
      </w:pPr>
      <w:rPr/>
    </w:lvl>
    <w:lvl w:ilvl="4">
      <w:start w:val="1"/>
      <w:numFmt w:val="lowerLetter"/>
      <w:lvlText w:val="%5."/>
      <w:lvlJc w:val="left"/>
      <w:pPr>
        <w:ind w:left="2891" w:hanging="360"/>
      </w:pPr>
      <w:rPr/>
    </w:lvl>
    <w:lvl w:ilvl="5">
      <w:start w:val="1"/>
      <w:numFmt w:val="lowerRoman"/>
      <w:lvlText w:val="%6."/>
      <w:lvlJc w:val="right"/>
      <w:pPr>
        <w:ind w:left="3611" w:hanging="180"/>
      </w:pPr>
      <w:rPr/>
    </w:lvl>
    <w:lvl w:ilvl="6">
      <w:start w:val="1"/>
      <w:numFmt w:val="decimal"/>
      <w:lvlText w:val="%7."/>
      <w:lvlJc w:val="left"/>
      <w:pPr>
        <w:ind w:left="4331" w:hanging="360"/>
      </w:pPr>
      <w:rPr/>
    </w:lvl>
    <w:lvl w:ilvl="7">
      <w:start w:val="1"/>
      <w:numFmt w:val="lowerLetter"/>
      <w:lvlText w:val="%8."/>
      <w:lvlJc w:val="left"/>
      <w:pPr>
        <w:ind w:left="5051" w:hanging="360"/>
      </w:pPr>
      <w:rPr/>
    </w:lvl>
    <w:lvl w:ilvl="8">
      <w:start w:val="1"/>
      <w:numFmt w:val="lowerRoman"/>
      <w:lvlText w:val="%9."/>
      <w:lvlJc w:val="right"/>
      <w:pPr>
        <w:ind w:left="5771"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w:cs="Nunito" w:eastAsia="Nunito" w:hAnsi="Nunito"/>
        <w:color w:val="434343"/>
        <w:sz w:val="22"/>
        <w:szCs w:val="22"/>
        <w:lang w:val="it"/>
      </w:rPr>
    </w:rPrDefault>
    <w:pPrDefault>
      <w:pPr>
        <w:spacing w:after="120" w:before="120" w:line="360" w:lineRule="auto"/>
        <w:ind w:left="-709" w:right="-690"/>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Titolo7">
    <w:name w:val="heading 7"/>
    <w:link w:val="Titolo7Carattere"/>
    <w:uiPriority w:val="9"/>
    <w:semiHidden w:val="1"/>
    <w:unhideWhenUsed w:val="1"/>
    <w:qFormat w:val="1"/>
    <w:rsid w:val="0086096E"/>
    <w:pPr>
      <w:keepNext w:val="1"/>
      <w:keepLines w:val="1"/>
      <w:spacing w:after="0" w:before="40"/>
      <w:outlineLvl w:val="6"/>
    </w:pPr>
    <w:rPr>
      <w:rFonts w:cstheme="majorBidi" w:eastAsiaTheme="majorEastAsia"/>
      <w:color w:val="595959" w:themeColor="text1" w:themeTint="0000A6"/>
    </w:rPr>
  </w:style>
  <w:style w:type="paragraph" w:styleId="Titolo8">
    <w:name w:val="heading 8"/>
    <w:link w:val="Titolo8Carattere"/>
    <w:uiPriority w:val="9"/>
    <w:semiHidden w:val="1"/>
    <w:unhideWhenUsed w:val="1"/>
    <w:qFormat w:val="1"/>
    <w:rsid w:val="0086096E"/>
    <w:pPr>
      <w:keepNext w:val="1"/>
      <w:keepLines w:val="1"/>
      <w:spacing w:after="0"/>
      <w:outlineLvl w:val="7"/>
    </w:pPr>
    <w:rPr>
      <w:rFonts w:cstheme="majorBidi" w:eastAsiaTheme="majorEastAsia"/>
      <w:i w:val="1"/>
      <w:iCs w:val="1"/>
      <w:color w:val="272727" w:themeColor="text1" w:themeTint="0000D8"/>
    </w:rPr>
  </w:style>
  <w:style w:type="paragraph" w:styleId="Titolo9">
    <w:name w:val="heading 9"/>
    <w:link w:val="Titolo9Carattere"/>
    <w:uiPriority w:val="9"/>
    <w:semiHidden w:val="1"/>
    <w:unhideWhenUsed w:val="1"/>
    <w:qFormat w:val="1"/>
    <w:rsid w:val="0086096E"/>
    <w:pPr>
      <w:keepNext w:val="1"/>
      <w:keepLines w:val="1"/>
      <w:spacing w:after="0"/>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Titolo1Carattere" w:customStyle="1">
    <w:name w:val="Titolo 1 Carattere"/>
    <w:basedOn w:val="Carpredefinitoparagrafo"/>
    <w:uiPriority w:val="9"/>
    <w:rsid w:val="0086096E"/>
    <w:rPr>
      <w:rFonts w:asciiTheme="majorHAnsi" w:cstheme="majorBidi" w:eastAsiaTheme="majorEastAsia" w:hAnsiTheme="majorHAnsi"/>
      <w:color w:val="0f4761" w:themeColor="accent1" w:themeShade="0000BF"/>
      <w:sz w:val="40"/>
      <w:szCs w:val="40"/>
      <w:lang w:val="en-GB"/>
    </w:rPr>
  </w:style>
  <w:style w:type="character" w:styleId="Titolo2Carattere" w:customStyle="1">
    <w:name w:val="Titolo 2 Carattere"/>
    <w:basedOn w:val="Carpredefinitoparagrafo"/>
    <w:uiPriority w:val="9"/>
    <w:semiHidden w:val="1"/>
    <w:rsid w:val="0086096E"/>
    <w:rPr>
      <w:rFonts w:asciiTheme="majorHAnsi" w:cstheme="majorBidi" w:eastAsiaTheme="majorEastAsia" w:hAnsiTheme="majorHAnsi"/>
      <w:color w:val="0f4761" w:themeColor="accent1" w:themeShade="0000BF"/>
      <w:sz w:val="32"/>
      <w:szCs w:val="32"/>
      <w:lang w:val="en-GB"/>
    </w:rPr>
  </w:style>
  <w:style w:type="character" w:styleId="Titolo3Carattere" w:customStyle="1">
    <w:name w:val="Titolo 3 Carattere"/>
    <w:basedOn w:val="Carpredefinitoparagrafo"/>
    <w:uiPriority w:val="9"/>
    <w:semiHidden w:val="1"/>
    <w:rsid w:val="0086096E"/>
    <w:rPr>
      <w:rFonts w:cstheme="majorBidi" w:eastAsiaTheme="majorEastAsia"/>
      <w:color w:val="0f4761" w:themeColor="accent1" w:themeShade="0000BF"/>
      <w:sz w:val="28"/>
      <w:szCs w:val="28"/>
      <w:lang w:val="en-GB"/>
    </w:rPr>
  </w:style>
  <w:style w:type="character" w:styleId="Titolo4Carattere" w:customStyle="1">
    <w:name w:val="Titolo 4 Carattere"/>
    <w:basedOn w:val="Carpredefinitoparagrafo"/>
    <w:uiPriority w:val="9"/>
    <w:semiHidden w:val="1"/>
    <w:rsid w:val="0086096E"/>
    <w:rPr>
      <w:rFonts w:cstheme="majorBidi" w:eastAsiaTheme="majorEastAsia"/>
      <w:i w:val="1"/>
      <w:iCs w:val="1"/>
      <w:color w:val="0f4761" w:themeColor="accent1" w:themeShade="0000BF"/>
      <w:lang w:val="en-GB"/>
    </w:rPr>
  </w:style>
  <w:style w:type="character" w:styleId="Titolo5Carattere" w:customStyle="1">
    <w:name w:val="Titolo 5 Carattere"/>
    <w:basedOn w:val="Carpredefinitoparagrafo"/>
    <w:uiPriority w:val="9"/>
    <w:semiHidden w:val="1"/>
    <w:rsid w:val="0086096E"/>
    <w:rPr>
      <w:rFonts w:cstheme="majorBidi" w:eastAsiaTheme="majorEastAsia"/>
      <w:color w:val="0f4761" w:themeColor="accent1" w:themeShade="0000BF"/>
      <w:lang w:val="en-GB"/>
    </w:rPr>
  </w:style>
  <w:style w:type="character" w:styleId="Titolo6Carattere" w:customStyle="1">
    <w:name w:val="Titolo 6 Carattere"/>
    <w:basedOn w:val="Carpredefinitoparagrafo"/>
    <w:uiPriority w:val="9"/>
    <w:semiHidden w:val="1"/>
    <w:rsid w:val="0086096E"/>
    <w:rPr>
      <w:rFonts w:cstheme="majorBidi" w:eastAsiaTheme="majorEastAsia"/>
      <w:i w:val="1"/>
      <w:iCs w:val="1"/>
      <w:color w:val="595959" w:themeColor="text1" w:themeTint="0000A6"/>
      <w:lang w:val="en-GB"/>
    </w:rPr>
  </w:style>
  <w:style w:type="character" w:styleId="Titolo7Carattere" w:customStyle="1">
    <w:name w:val="Titolo 7 Carattere"/>
    <w:basedOn w:val="Carpredefinitoparagrafo"/>
    <w:link w:val="Titolo7"/>
    <w:uiPriority w:val="9"/>
    <w:semiHidden w:val="1"/>
    <w:rsid w:val="0086096E"/>
    <w:rPr>
      <w:rFonts w:cstheme="majorBidi" w:eastAsiaTheme="majorEastAsia"/>
      <w:color w:val="595959" w:themeColor="text1" w:themeTint="0000A6"/>
      <w:lang w:val="en-GB"/>
    </w:rPr>
  </w:style>
  <w:style w:type="character" w:styleId="Titolo8Carattere" w:customStyle="1">
    <w:name w:val="Titolo 8 Carattere"/>
    <w:basedOn w:val="Carpredefinitoparagrafo"/>
    <w:link w:val="Titolo8"/>
    <w:uiPriority w:val="9"/>
    <w:semiHidden w:val="1"/>
    <w:rsid w:val="0086096E"/>
    <w:rPr>
      <w:rFonts w:cstheme="majorBidi" w:eastAsiaTheme="majorEastAsia"/>
      <w:i w:val="1"/>
      <w:iCs w:val="1"/>
      <w:color w:val="272727" w:themeColor="text1" w:themeTint="0000D8"/>
      <w:lang w:val="en-GB"/>
    </w:rPr>
  </w:style>
  <w:style w:type="character" w:styleId="Titolo9Carattere" w:customStyle="1">
    <w:name w:val="Titolo 9 Carattere"/>
    <w:basedOn w:val="Carpredefinitoparagrafo"/>
    <w:link w:val="Titolo9"/>
    <w:uiPriority w:val="9"/>
    <w:semiHidden w:val="1"/>
    <w:rsid w:val="0086096E"/>
    <w:rPr>
      <w:rFonts w:cstheme="majorBidi" w:eastAsiaTheme="majorEastAsia"/>
      <w:color w:val="272727" w:themeColor="text1" w:themeTint="0000D8"/>
      <w:lang w:val="en-GB"/>
    </w:rPr>
  </w:style>
  <w:style w:type="character" w:styleId="TitoloCarattere" w:customStyle="1">
    <w:name w:val="Titolo Carattere"/>
    <w:basedOn w:val="Carpredefinitoparagrafo"/>
    <w:uiPriority w:val="10"/>
    <w:rsid w:val="0086096E"/>
    <w:rPr>
      <w:rFonts w:asciiTheme="majorHAnsi" w:cstheme="majorBidi" w:eastAsiaTheme="majorEastAsia" w:hAnsiTheme="majorHAnsi"/>
      <w:spacing w:val="-10"/>
      <w:kern w:val="28"/>
      <w:sz w:val="56"/>
      <w:szCs w:val="56"/>
      <w:lang w:val="en-GB"/>
    </w:rPr>
  </w:style>
  <w:style w:type="character" w:styleId="SottotitoloCarattere" w:customStyle="1">
    <w:name w:val="Sottotitolo Carattere"/>
    <w:basedOn w:val="Carpredefinitoparagrafo"/>
    <w:uiPriority w:val="11"/>
    <w:rsid w:val="0086096E"/>
    <w:rPr>
      <w:rFonts w:cstheme="majorBidi" w:eastAsiaTheme="majorEastAsia"/>
      <w:color w:val="595959" w:themeColor="text1" w:themeTint="0000A6"/>
      <w:spacing w:val="15"/>
      <w:sz w:val="28"/>
      <w:szCs w:val="28"/>
      <w:lang w:val="en-GB"/>
    </w:rPr>
  </w:style>
  <w:style w:type="paragraph" w:styleId="Citazione">
    <w:name w:val="Quote"/>
    <w:link w:val="CitazioneCarattere"/>
    <w:uiPriority w:val="29"/>
    <w:qFormat w:val="1"/>
    <w:rsid w:val="0086096E"/>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86096E"/>
    <w:rPr>
      <w:i w:val="1"/>
      <w:iCs w:val="1"/>
      <w:color w:val="404040" w:themeColor="text1" w:themeTint="0000BF"/>
      <w:lang w:val="en-GB"/>
    </w:rPr>
  </w:style>
  <w:style w:type="paragraph" w:styleId="Paragrafoelenco">
    <w:name w:val="List Paragraph"/>
    <w:uiPriority w:val="34"/>
    <w:qFormat w:val="1"/>
    <w:rsid w:val="0086096E"/>
    <w:pPr>
      <w:ind w:left="720"/>
      <w:contextualSpacing w:val="1"/>
    </w:pPr>
  </w:style>
  <w:style w:type="character" w:styleId="Enfasiintensa">
    <w:name w:val="Intense Emphasis"/>
    <w:basedOn w:val="Carpredefinitoparagrafo"/>
    <w:uiPriority w:val="21"/>
    <w:qFormat w:val="1"/>
    <w:rsid w:val="0086096E"/>
    <w:rPr>
      <w:i w:val="1"/>
      <w:iCs w:val="1"/>
      <w:color w:val="0f4761" w:themeColor="accent1" w:themeShade="0000BF"/>
    </w:rPr>
  </w:style>
  <w:style w:type="paragraph" w:styleId="Citazioneintensa">
    <w:name w:val="Intense Quote"/>
    <w:link w:val="CitazioneintensaCarattere"/>
    <w:uiPriority w:val="30"/>
    <w:qFormat w:val="1"/>
    <w:rsid w:val="0086096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86096E"/>
    <w:rPr>
      <w:i w:val="1"/>
      <w:iCs w:val="1"/>
      <w:color w:val="0f4761" w:themeColor="accent1" w:themeShade="0000BF"/>
      <w:lang w:val="en-GB"/>
    </w:rPr>
  </w:style>
  <w:style w:type="character" w:styleId="Riferimentointenso">
    <w:name w:val="Intense Reference"/>
    <w:basedOn w:val="Carpredefinitoparagrafo"/>
    <w:uiPriority w:val="32"/>
    <w:qFormat w:val="1"/>
    <w:rsid w:val="0086096E"/>
    <w:rPr>
      <w:b w:val="1"/>
      <w:bCs w:val="1"/>
      <w:smallCaps w:val="1"/>
      <w:color w:val="0f4761" w:themeColor="accent1" w:themeShade="0000BF"/>
      <w:spacing w:val="5"/>
    </w:rPr>
  </w:style>
  <w:style w:type="paragraph" w:styleId="Intestazione">
    <w:name w:val="header"/>
    <w:link w:val="IntestazioneCarattere"/>
    <w:uiPriority w:val="99"/>
    <w:unhideWhenUsed w:val="1"/>
    <w:rsid w:val="0086096E"/>
    <w:pPr>
      <w:tabs>
        <w:tab w:val="center" w:pos="4252"/>
        <w:tab w:val="right" w:pos="8504"/>
      </w:tabs>
      <w:spacing w:after="0" w:line="240" w:lineRule="auto"/>
    </w:pPr>
  </w:style>
  <w:style w:type="character" w:styleId="IntestazioneCarattere" w:customStyle="1">
    <w:name w:val="Intestazione Carattere"/>
    <w:basedOn w:val="Carpredefinitoparagrafo"/>
    <w:link w:val="Intestazione"/>
    <w:uiPriority w:val="99"/>
    <w:rsid w:val="0086096E"/>
    <w:rPr>
      <w:lang w:val="en-GB"/>
    </w:rPr>
  </w:style>
  <w:style w:type="paragraph" w:styleId="Pidipagina">
    <w:name w:val="footer"/>
    <w:link w:val="PidipaginaCarattere"/>
    <w:uiPriority w:val="99"/>
    <w:unhideWhenUsed w:val="1"/>
    <w:rsid w:val="0086096E"/>
    <w:pPr>
      <w:tabs>
        <w:tab w:val="center" w:pos="4252"/>
        <w:tab w:val="right" w:pos="8504"/>
      </w:tabs>
      <w:spacing w:after="0" w:line="240" w:lineRule="auto"/>
    </w:pPr>
  </w:style>
  <w:style w:type="character" w:styleId="PidipaginaCarattere" w:customStyle="1">
    <w:name w:val="Piè di pagina Carattere"/>
    <w:basedOn w:val="Carpredefinitoparagrafo"/>
    <w:link w:val="Pidipagina"/>
    <w:uiPriority w:val="99"/>
    <w:rsid w:val="0086096E"/>
    <w:rPr>
      <w:lang w:val="en-GB"/>
    </w:rPr>
  </w:style>
  <w:style w:type="table" w:styleId="a" w:customStyle="1">
    <w:basedOn w:val="TableNormal3"/>
    <w:tblPr>
      <w:tblStyleRowBandSize w:val="1"/>
      <w:tblStyleColBandSize w:val="1"/>
      <w:tblCellMar>
        <w:top w:w="100.0" w:type="dxa"/>
        <w:left w:w="100.0" w:type="dxa"/>
        <w:bottom w:w="100.0" w:type="dxa"/>
        <w:right w:w="100.0" w:type="dxa"/>
      </w:tblCellMar>
    </w:tblPr>
  </w:style>
  <w:style w:type="paragraph" w:styleId="NormaleWeb">
    <w:name w:val="Normal (Web)"/>
    <w:uiPriority w:val="99"/>
    <w:semiHidden w:val="1"/>
    <w:unhideWhenUsed w:val="1"/>
    <w:rsid w:val="000271C4"/>
    <w:pPr>
      <w:spacing w:after="100" w:afterAutospacing="1" w:before="100" w:beforeAutospacing="1" w:line="240" w:lineRule="auto"/>
      <w:ind w:left="0" w:right="0"/>
      <w:jc w:val="left"/>
    </w:pPr>
    <w:rPr>
      <w:rFonts w:ascii="Times New Roman" w:cs="Times New Roman" w:eastAsia="Times New Roman" w:hAnsi="Times New Roman"/>
      <w:color w:val="auto"/>
      <w:sz w:val="24"/>
      <w:szCs w:val="24"/>
    </w:rPr>
  </w:style>
  <w:style w:type="character" w:styleId="Enfasigrassetto">
    <w:name w:val="Strong"/>
    <w:basedOn w:val="Carpredefinitoparagrafo"/>
    <w:uiPriority w:val="22"/>
    <w:qFormat w:val="1"/>
    <w:rsid w:val="000271C4"/>
    <w:rPr>
      <w:b w:val="1"/>
      <w:bCs w:val="1"/>
    </w:rPr>
  </w:style>
  <w:style w:type="paragraph" w:styleId="Titolosommario">
    <w:name w:val="TOC Heading"/>
    <w:uiPriority w:val="39"/>
    <w:unhideWhenUsed w:val="1"/>
    <w:qFormat w:val="1"/>
    <w:rsid w:val="0058216C"/>
    <w:pPr>
      <w:spacing w:after="0" w:before="240" w:line="259" w:lineRule="auto"/>
      <w:ind w:left="0" w:right="0"/>
      <w:jc w:val="left"/>
    </w:pPr>
    <w:rPr>
      <w:sz w:val="32"/>
      <w:szCs w:val="32"/>
    </w:rPr>
  </w:style>
  <w:style w:type="paragraph" w:styleId="Sommario1">
    <w:name w:val="toc 1"/>
    <w:autoRedefine w:val="1"/>
    <w:uiPriority w:val="39"/>
    <w:unhideWhenUsed w:val="1"/>
    <w:rsid w:val="0058216C"/>
    <w:pPr>
      <w:spacing w:after="100"/>
      <w:ind w:left="0"/>
    </w:pPr>
  </w:style>
  <w:style w:type="character" w:styleId="Collegamentoipertestuale">
    <w:name w:val="Hyperlink"/>
    <w:basedOn w:val="Carpredefinitoparagrafo"/>
    <w:uiPriority w:val="99"/>
    <w:unhideWhenUsed w:val="1"/>
    <w:rsid w:val="0058216C"/>
    <w:rPr>
      <w:color w:val="467886" w:themeColor="hyperlink"/>
      <w:u w:val="single"/>
    </w:rPr>
  </w:style>
  <w:style w:type="character" w:styleId="Numeropagina">
    <w:name w:val="page number"/>
    <w:basedOn w:val="Carpredefinitoparagrafo"/>
    <w:uiPriority w:val="99"/>
    <w:unhideWhenUsed w:val="1"/>
    <w:rsid w:val="0058216C"/>
  </w:style>
  <w:style w:type="character" w:styleId="UnresolvedMention" w:customStyle="1">
    <w:name w:val="Unresolved Mention"/>
    <w:basedOn w:val="Carpredefinitoparagrafo"/>
    <w:uiPriority w:val="99"/>
    <w:semiHidden w:val="1"/>
    <w:unhideWhenUsed w:val="1"/>
    <w:rsid w:val="009640F3"/>
    <w:rPr>
      <w:color w:val="605e5c"/>
      <w:shd w:color="auto" w:fill="e1dfdd" w:val="clear"/>
    </w:rPr>
  </w:style>
  <w:style w:type="character" w:styleId="Collegamentovisitato">
    <w:name w:val="FollowedHyperlink"/>
    <w:basedOn w:val="Carpredefinitoparagrafo"/>
    <w:uiPriority w:val="99"/>
    <w:semiHidden w:val="1"/>
    <w:unhideWhenUsed w:val="1"/>
    <w:rsid w:val="00017AF0"/>
    <w:rPr>
      <w:color w:val="96607d" w:themeColor="followedHyperlink"/>
      <w:u w:val="single"/>
    </w:rPr>
  </w:style>
  <w:style w:type="paragraph" w:styleId="Testonotaapidipagina">
    <w:name w:val="footnote text"/>
    <w:link w:val="TestonotaapidipaginaCarattere"/>
    <w:uiPriority w:val="99"/>
    <w:semiHidden w:val="1"/>
    <w:unhideWhenUsed w:val="1"/>
    <w:rsid w:val="00F1085C"/>
    <w:pPr>
      <w:spacing w:after="0" w:before="0" w:line="240" w:lineRule="auto"/>
    </w:pPr>
    <w:rPr>
      <w:sz w:val="20"/>
      <w:szCs w:val="20"/>
    </w:rPr>
  </w:style>
  <w:style w:type="character" w:styleId="TestonotaapidipaginaCarattere" w:customStyle="1">
    <w:name w:val="Testo nota a piè di pagina Carattere"/>
    <w:basedOn w:val="Carpredefinitoparagrafo"/>
    <w:link w:val="Testonotaapidipagina"/>
    <w:uiPriority w:val="99"/>
    <w:semiHidden w:val="1"/>
    <w:rsid w:val="00F1085C"/>
    <w:rPr>
      <w:sz w:val="20"/>
      <w:szCs w:val="20"/>
    </w:rPr>
  </w:style>
  <w:style w:type="character" w:styleId="Rimandonotaapidipagina">
    <w:name w:val="footnote reference"/>
    <w:basedOn w:val="Carpredefinitoparagrafo"/>
    <w:uiPriority w:val="99"/>
    <w:semiHidden w:val="1"/>
    <w:unhideWhenUsed w:val="1"/>
    <w:rsid w:val="00F1085C"/>
    <w:rPr>
      <w:vertAlign w:val="superscript"/>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2.png"/><Relationship Id="rId12" Type="http://schemas.openxmlformats.org/officeDocument/2006/relationships/footer" Target="footer1.xml"/><Relationship Id="rId9" Type="http://schemas.openxmlformats.org/officeDocument/2006/relationships/hyperlink" Target="https://www.arcgis.com/apps/dashboards/078e4abc6dd14191b7a533da4c7b55c0"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spreadsheets/d/1CTeOtNhSZ1nHNHi7TJrpGMoYcyrCahcppBcVDBU54o4/edit?gid=0#gid=0" TargetMode="External"/><Relationship Id="rId8" Type="http://schemas.openxmlformats.org/officeDocument/2006/relationships/hyperlink" Target="https://surfproject.eu/wp-content/uploads/2025/05/Invitation-letter-for-SURF-Rural-Network_.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unitoSemiBold-regular.ttf"/><Relationship Id="rId2" Type="http://schemas.openxmlformats.org/officeDocument/2006/relationships/font" Target="fonts/NunitoSemiBold-bold.ttf"/><Relationship Id="rId3" Type="http://schemas.openxmlformats.org/officeDocument/2006/relationships/font" Target="fonts/NunitoSemiBold-italic.ttf"/><Relationship Id="rId4" Type="http://schemas.openxmlformats.org/officeDocument/2006/relationships/font" Target="fonts/NunitoSemiBold-boldItalic.ttf"/><Relationship Id="rId11" Type="http://schemas.openxmlformats.org/officeDocument/2006/relationships/font" Target="fonts/NotoSansSymbols-regular.ttf"/><Relationship Id="rId10" Type="http://schemas.openxmlformats.org/officeDocument/2006/relationships/font" Target="fonts/Nunito-boldItalic.ttf"/><Relationship Id="rId12" Type="http://schemas.openxmlformats.org/officeDocument/2006/relationships/font" Target="fonts/NotoSansSymbols-bold.ttf"/><Relationship Id="rId9" Type="http://schemas.openxmlformats.org/officeDocument/2006/relationships/font" Target="fonts/Nunito-italic.ttf"/><Relationship Id="rId5" Type="http://schemas.openxmlformats.org/officeDocument/2006/relationships/font" Target="fonts/Play-regular.ttf"/><Relationship Id="rId6" Type="http://schemas.openxmlformats.org/officeDocument/2006/relationships/font" Target="fonts/Play-bold.ttf"/><Relationship Id="rId7" Type="http://schemas.openxmlformats.org/officeDocument/2006/relationships/font" Target="fonts/Nunito-regular.ttf"/><Relationship Id="rId8" Type="http://schemas.openxmlformats.org/officeDocument/2006/relationships/font" Target="fonts/Nunito-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fYIP9VuoyUUAebTqQ4DtxZAI3w==">CgMxLjAyDWgucW03NXk5ZHh1NG8yDmguOWlqdHhodTY3bjQ5Mg5oLmRycjRvZ3pnZGw4NjIOaC4zZ25heGx3Z2k5YWUyDmgucmQ0MXhzZTU4aXlhMg5oLjFwcHVsNmx5djFjODIOaC5tZGZ6dWh4NGI4dmUyDmgucHV6OXF4eTB4NmptMghoLmdqZGd4czgAciExSURjSktpR2xHOEdaQk81NGhOM0ZuZF9HOEFJZFF3Wnc=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2025-07-29T07:51:00Z</dcterms:created>
  <dc:creator>Nati Spano</dc:creator>
</cp:coreProperties>
</file>